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auto"/>
          <w:sz w:val="144"/>
          <w:szCs w:val="44"/>
          <w:highlight w:val="none"/>
        </w:rPr>
      </w:pPr>
      <w:bookmarkStart w:id="4" w:name="_GoBack"/>
      <w:bookmarkEnd w:id="4"/>
      <w:r>
        <w:rPr>
          <w:rFonts w:hint="eastAsia" w:ascii="宋体" w:hAnsi="宋体" w:eastAsia="宋体" w:cs="宋体"/>
          <w:sz w:val="32"/>
          <w:szCs w:val="40"/>
          <w:highlight w:val="none"/>
        </w:rPr>
        <w:t>JH20230510</w:t>
      </w:r>
    </w:p>
    <w:p>
      <w:pPr>
        <w:pStyle w:val="8"/>
        <w:rPr>
          <w:rFonts w:ascii="仿宋" w:hAnsi="仿宋" w:eastAsia="仿宋"/>
          <w:b/>
          <w:color w:val="auto"/>
          <w:sz w:val="52"/>
          <w:szCs w:val="28"/>
          <w:highlight w:val="none"/>
        </w:rPr>
      </w:pPr>
    </w:p>
    <w:p>
      <w:pPr>
        <w:adjustRightInd w:val="0"/>
        <w:snapToGrid w:val="0"/>
        <w:spacing w:before="312" w:beforeLines="100"/>
        <w:jc w:val="center"/>
        <w:rPr>
          <w:rFonts w:ascii="仿宋" w:hAnsi="仿宋" w:eastAsia="仿宋"/>
          <w:b/>
          <w:color w:val="auto"/>
          <w:spacing w:val="40"/>
          <w:sz w:val="48"/>
          <w:szCs w:val="44"/>
          <w:highlight w:val="none"/>
        </w:rPr>
      </w:pPr>
      <w:r>
        <w:rPr>
          <w:rFonts w:hint="eastAsia" w:ascii="仿宋" w:hAnsi="仿宋" w:eastAsia="仿宋"/>
          <w:b/>
          <w:color w:val="auto"/>
          <w:spacing w:val="40"/>
          <w:sz w:val="48"/>
          <w:szCs w:val="44"/>
          <w:highlight w:val="none"/>
        </w:rPr>
        <w:t>青岛特殊钢铁有限公司</w:t>
      </w:r>
    </w:p>
    <w:p>
      <w:pPr>
        <w:adjustRightInd w:val="0"/>
        <w:snapToGrid w:val="0"/>
        <w:spacing w:before="312" w:beforeLines="100"/>
        <w:jc w:val="center"/>
        <w:rPr>
          <w:rFonts w:hint="eastAsia" w:ascii="仿宋" w:hAnsi="仿宋" w:eastAsia="仿宋"/>
          <w:b/>
          <w:color w:val="auto"/>
          <w:spacing w:val="40"/>
          <w:sz w:val="48"/>
          <w:szCs w:val="44"/>
          <w:highlight w:val="none"/>
          <w:lang w:eastAsia="zh-CN"/>
        </w:rPr>
      </w:pPr>
      <w:r>
        <w:rPr>
          <w:rFonts w:hint="eastAsia" w:ascii="仿宋" w:hAnsi="仿宋" w:eastAsia="仿宋"/>
          <w:b/>
          <w:color w:val="auto"/>
          <w:spacing w:val="40"/>
          <w:sz w:val="48"/>
          <w:szCs w:val="44"/>
          <w:highlight w:val="none"/>
        </w:rPr>
        <w:t>焦炉上升管荒煤气自动点火</w:t>
      </w:r>
      <w:r>
        <w:rPr>
          <w:rFonts w:hint="eastAsia" w:ascii="仿宋" w:hAnsi="仿宋" w:eastAsia="仿宋"/>
          <w:b/>
          <w:color w:val="auto"/>
          <w:spacing w:val="40"/>
          <w:sz w:val="48"/>
          <w:szCs w:val="44"/>
          <w:highlight w:val="none"/>
          <w:lang w:val="en-US" w:eastAsia="zh-CN"/>
        </w:rPr>
        <w:t>项目</w:t>
      </w:r>
    </w:p>
    <w:p>
      <w:pPr>
        <w:adjustRightInd w:val="0"/>
        <w:snapToGrid w:val="0"/>
        <w:spacing w:before="312" w:beforeLines="100"/>
        <w:jc w:val="center"/>
        <w:rPr>
          <w:rFonts w:hint="eastAsia" w:ascii="仿宋" w:hAnsi="仿宋" w:eastAsia="仿宋"/>
          <w:b/>
          <w:color w:val="auto"/>
          <w:sz w:val="30"/>
          <w:highlight w:val="none"/>
          <w:lang w:eastAsia="zh-CN"/>
        </w:rPr>
      </w:pPr>
      <w:r>
        <w:rPr>
          <w:rFonts w:hint="eastAsia" w:ascii="仿宋" w:hAnsi="仿宋" w:eastAsia="仿宋"/>
          <w:b/>
          <w:color w:val="auto"/>
          <w:spacing w:val="40"/>
          <w:sz w:val="48"/>
          <w:szCs w:val="44"/>
          <w:highlight w:val="none"/>
        </w:rPr>
        <w:t>技术</w:t>
      </w:r>
      <w:r>
        <w:rPr>
          <w:rFonts w:hint="eastAsia" w:ascii="仿宋" w:hAnsi="仿宋" w:eastAsia="仿宋"/>
          <w:b/>
          <w:color w:val="auto"/>
          <w:spacing w:val="40"/>
          <w:sz w:val="48"/>
          <w:szCs w:val="44"/>
          <w:highlight w:val="none"/>
          <w:lang w:val="en-US" w:eastAsia="zh-CN"/>
        </w:rPr>
        <w:t>协议</w:t>
      </w:r>
    </w:p>
    <w:p>
      <w:pPr>
        <w:ind w:left="1890" w:leftChars="900" w:firstLine="10"/>
        <w:rPr>
          <w:rFonts w:ascii="仿宋" w:hAnsi="仿宋" w:eastAsia="仿宋"/>
          <w:b/>
          <w:color w:val="auto"/>
          <w:sz w:val="30"/>
          <w:highlight w:val="none"/>
        </w:rPr>
      </w:pPr>
    </w:p>
    <w:p>
      <w:pPr>
        <w:pStyle w:val="3"/>
        <w:rPr>
          <w:rFonts w:ascii="仿宋" w:hAnsi="仿宋" w:eastAsia="仿宋"/>
          <w:color w:val="auto"/>
          <w:sz w:val="30"/>
          <w:highlight w:val="none"/>
        </w:rPr>
      </w:pPr>
    </w:p>
    <w:p>
      <w:pPr>
        <w:rPr>
          <w:rFonts w:ascii="仿宋" w:hAnsi="仿宋" w:eastAsia="仿宋"/>
          <w:b/>
          <w:color w:val="auto"/>
          <w:sz w:val="30"/>
          <w:highlight w:val="none"/>
        </w:rPr>
      </w:pPr>
    </w:p>
    <w:p>
      <w:pPr>
        <w:pStyle w:val="8"/>
        <w:rPr>
          <w:rFonts w:ascii="仿宋" w:hAnsi="仿宋" w:eastAsia="仿宋"/>
          <w:color w:val="auto"/>
          <w:sz w:val="30"/>
          <w:highlight w:val="none"/>
        </w:rPr>
      </w:pPr>
    </w:p>
    <w:p>
      <w:pPr>
        <w:rPr>
          <w:color w:val="auto"/>
          <w:highlight w:val="none"/>
        </w:rPr>
      </w:pPr>
    </w:p>
    <w:p>
      <w:pPr>
        <w:pStyle w:val="3"/>
        <w:rPr>
          <w:color w:val="auto"/>
          <w:highlight w:val="none"/>
        </w:rPr>
      </w:pPr>
    </w:p>
    <w:p>
      <w:pPr>
        <w:pStyle w:val="8"/>
        <w:rPr>
          <w:color w:val="auto"/>
          <w:highlight w:val="none"/>
        </w:rPr>
      </w:pPr>
    </w:p>
    <w:p>
      <w:pPr>
        <w:pStyle w:val="3"/>
        <w:rPr>
          <w:color w:val="auto"/>
          <w:highlight w:val="none"/>
        </w:rPr>
      </w:pPr>
    </w:p>
    <w:p>
      <w:pPr>
        <w:jc w:val="center"/>
        <w:rPr>
          <w:rFonts w:ascii="仿宋" w:hAnsi="仿宋" w:eastAsia="仿宋"/>
          <w:b/>
          <w:color w:val="auto"/>
          <w:sz w:val="30"/>
          <w:highlight w:val="none"/>
        </w:rPr>
      </w:pPr>
      <w:r>
        <w:rPr>
          <w:rFonts w:hint="eastAsia" w:ascii="仿宋" w:hAnsi="仿宋" w:eastAsia="仿宋"/>
          <w:b/>
          <w:color w:val="auto"/>
          <w:sz w:val="30"/>
          <w:highlight w:val="none"/>
        </w:rPr>
        <w:t>青岛特殊钢铁有限公司</w:t>
      </w:r>
    </w:p>
    <w:p>
      <w:pPr>
        <w:jc w:val="center"/>
        <w:rPr>
          <w:rFonts w:ascii="仿宋" w:hAnsi="仿宋" w:eastAsia="仿宋"/>
          <w:b/>
          <w:color w:val="auto"/>
          <w:sz w:val="30"/>
          <w:highlight w:val="none"/>
        </w:rPr>
      </w:pPr>
      <w:r>
        <w:rPr>
          <w:rFonts w:hint="eastAsia" w:ascii="仿宋" w:hAnsi="仿宋" w:eastAsia="仿宋"/>
          <w:b/>
          <w:color w:val="auto"/>
          <w:sz w:val="30"/>
          <w:highlight w:val="none"/>
        </w:rPr>
        <w:t>202</w:t>
      </w:r>
      <w:r>
        <w:rPr>
          <w:rFonts w:hint="eastAsia" w:ascii="仿宋" w:hAnsi="仿宋" w:eastAsia="仿宋"/>
          <w:b/>
          <w:color w:val="auto"/>
          <w:sz w:val="30"/>
          <w:highlight w:val="none"/>
          <w:lang w:val="en-US" w:eastAsia="zh-CN"/>
        </w:rPr>
        <w:t>3</w:t>
      </w:r>
      <w:r>
        <w:rPr>
          <w:rFonts w:hint="eastAsia" w:ascii="仿宋" w:hAnsi="仿宋" w:eastAsia="仿宋"/>
          <w:b/>
          <w:color w:val="auto"/>
          <w:sz w:val="30"/>
          <w:highlight w:val="none"/>
        </w:rPr>
        <w:t xml:space="preserve">年 </w:t>
      </w:r>
      <w:r>
        <w:rPr>
          <w:rFonts w:hint="eastAsia" w:ascii="仿宋" w:hAnsi="仿宋" w:eastAsia="仿宋"/>
          <w:b/>
          <w:color w:val="auto"/>
          <w:sz w:val="30"/>
          <w:highlight w:val="none"/>
          <w:lang w:val="en-US" w:eastAsia="zh-CN"/>
        </w:rPr>
        <w:t>6</w:t>
      </w:r>
      <w:r>
        <w:rPr>
          <w:rFonts w:hint="eastAsia" w:ascii="仿宋" w:hAnsi="仿宋" w:eastAsia="仿宋"/>
          <w:b/>
          <w:color w:val="auto"/>
          <w:sz w:val="30"/>
          <w:highlight w:val="none"/>
        </w:rPr>
        <w:t>月</w:t>
      </w:r>
    </w:p>
    <w:p>
      <w:pPr>
        <w:jc w:val="left"/>
        <w:rPr>
          <w:rFonts w:asciiTheme="majorHAnsi" w:hAnsiTheme="majorHAnsi" w:eastAsiaTheme="majorEastAsia" w:cstheme="majorBidi"/>
          <w:bCs/>
          <w:color w:val="auto"/>
          <w:sz w:val="32"/>
          <w:szCs w:val="32"/>
          <w:highlight w:val="none"/>
        </w:rPr>
      </w:pPr>
    </w:p>
    <w:p>
      <w:pPr>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jc w:val="left"/>
        <w:rPr>
          <w:rFonts w:hint="eastAsia" w:ascii="仿宋" w:hAnsi="仿宋" w:eastAsia="仿宋" w:cs="仿宋"/>
          <w:color w:val="auto"/>
          <w:sz w:val="28"/>
          <w:szCs w:val="28"/>
          <w:highlight w:val="none"/>
        </w:rPr>
      </w:pPr>
    </w:p>
    <w:p>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青岛特殊钢铁有限公司焦化厂现有两座7</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m顶装焦炉，计1</w:t>
      </w:r>
      <w:r>
        <w:rPr>
          <w:rFonts w:ascii="仿宋" w:hAnsi="仿宋" w:eastAsia="仿宋" w:cs="仿宋"/>
          <w:color w:val="auto"/>
          <w:sz w:val="28"/>
          <w:szCs w:val="28"/>
          <w:highlight w:val="none"/>
        </w:rPr>
        <w:t>30</w:t>
      </w:r>
      <w:r>
        <w:rPr>
          <w:rFonts w:hint="eastAsia" w:ascii="仿宋" w:hAnsi="仿宋" w:eastAsia="仿宋" w:cs="仿宋"/>
          <w:color w:val="auto"/>
          <w:sz w:val="28"/>
          <w:szCs w:val="28"/>
          <w:highlight w:val="none"/>
        </w:rPr>
        <w:t>孔。焦炉出焦前，人工打开上升管盖，进行“晾炉”操作，存在</w:t>
      </w:r>
      <w:r>
        <w:rPr>
          <w:rFonts w:ascii="仿宋" w:hAnsi="仿宋" w:eastAsia="仿宋" w:cs="仿宋"/>
          <w:color w:val="auto"/>
          <w:sz w:val="28"/>
          <w:szCs w:val="28"/>
          <w:highlight w:val="none"/>
        </w:rPr>
        <w:t>残余荒煤气逸散</w:t>
      </w:r>
      <w:r>
        <w:rPr>
          <w:rFonts w:hint="eastAsia" w:ascii="仿宋" w:hAnsi="仿宋" w:eastAsia="仿宋" w:cs="仿宋"/>
          <w:color w:val="auto"/>
          <w:sz w:val="28"/>
          <w:szCs w:val="28"/>
          <w:highlight w:val="none"/>
          <w:lang w:val="en-US" w:eastAsia="zh-CN"/>
        </w:rPr>
        <w:t>冒青烟</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甚至</w:t>
      </w:r>
      <w:r>
        <w:rPr>
          <w:rFonts w:hint="eastAsia" w:ascii="仿宋" w:hAnsi="仿宋" w:eastAsia="仿宋" w:cs="仿宋"/>
          <w:color w:val="auto"/>
          <w:sz w:val="28"/>
          <w:szCs w:val="28"/>
          <w:highlight w:val="none"/>
          <w:lang w:val="en-US" w:eastAsia="zh-CN"/>
        </w:rPr>
        <w:t>开装煤孔盖时</w:t>
      </w:r>
      <w:r>
        <w:rPr>
          <w:rFonts w:hint="eastAsia" w:ascii="仿宋" w:hAnsi="仿宋" w:eastAsia="仿宋" w:cs="仿宋"/>
          <w:color w:val="auto"/>
          <w:sz w:val="28"/>
          <w:szCs w:val="28"/>
          <w:highlight w:val="none"/>
        </w:rPr>
        <w:t>上升管</w:t>
      </w:r>
      <w:r>
        <w:rPr>
          <w:rFonts w:ascii="仿宋" w:hAnsi="仿宋" w:eastAsia="仿宋" w:cs="仿宋"/>
          <w:color w:val="auto"/>
          <w:sz w:val="28"/>
          <w:szCs w:val="28"/>
          <w:highlight w:val="none"/>
        </w:rPr>
        <w:t>“放炮”</w:t>
      </w:r>
      <w:r>
        <w:rPr>
          <w:rFonts w:hint="eastAsia" w:ascii="仿宋" w:hAnsi="仿宋" w:eastAsia="仿宋" w:cs="仿宋"/>
          <w:color w:val="auto"/>
          <w:sz w:val="28"/>
          <w:szCs w:val="28"/>
          <w:highlight w:val="none"/>
        </w:rPr>
        <w:t>的弊端</w:t>
      </w:r>
      <w:r>
        <w:rPr>
          <w:rFonts w:ascii="仿宋" w:hAnsi="仿宋" w:eastAsia="仿宋" w:cs="仿宋"/>
          <w:color w:val="auto"/>
          <w:sz w:val="28"/>
          <w:szCs w:val="28"/>
          <w:highlight w:val="none"/>
        </w:rPr>
        <w:t>。</w:t>
      </w:r>
    </w:p>
    <w:p>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为克服上述弊端，满足超低排放的要求，拟改造并配套先进可靠的上升管</w:t>
      </w:r>
      <w:r>
        <w:rPr>
          <w:rFonts w:hint="eastAsia" w:ascii="仿宋" w:hAnsi="仿宋" w:eastAsia="仿宋" w:cs="仿宋"/>
          <w:color w:val="auto"/>
          <w:sz w:val="28"/>
          <w:szCs w:val="28"/>
          <w:highlight w:val="none"/>
          <w:lang w:val="en-US" w:eastAsia="zh-CN"/>
        </w:rPr>
        <w:t>自动</w:t>
      </w:r>
      <w:r>
        <w:rPr>
          <w:rFonts w:hint="eastAsia" w:ascii="仿宋" w:hAnsi="仿宋" w:eastAsia="仿宋" w:cs="仿宋"/>
          <w:color w:val="auto"/>
          <w:sz w:val="28"/>
          <w:szCs w:val="28"/>
          <w:highlight w:val="none"/>
        </w:rPr>
        <w:t>点火系统，特制定本技术</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，以满足招标、设计、采购、制造、施工、验收的需要。</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1、总则</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1.1本技术</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适用于青岛特殊钢铁有限公司焦化厂荒煤气上升管自动点火装置的设计、</w:t>
      </w:r>
      <w:r>
        <w:rPr>
          <w:rFonts w:hint="eastAsia" w:ascii="仿宋" w:hAnsi="仿宋" w:eastAsia="仿宋" w:cs="仿宋"/>
          <w:color w:val="auto"/>
          <w:sz w:val="28"/>
          <w:szCs w:val="28"/>
          <w:highlight w:val="none"/>
          <w:lang w:val="en-US" w:eastAsia="zh-CN"/>
        </w:rPr>
        <w:t>备件采购、</w:t>
      </w:r>
      <w:r>
        <w:rPr>
          <w:rFonts w:hint="eastAsia" w:ascii="仿宋" w:hAnsi="仿宋" w:eastAsia="仿宋" w:cs="仿宋"/>
          <w:color w:val="auto"/>
          <w:sz w:val="28"/>
          <w:szCs w:val="28"/>
          <w:highlight w:val="none"/>
        </w:rPr>
        <w:t>安装、调试，包括功能设计、</w:t>
      </w:r>
      <w:r>
        <w:rPr>
          <w:rFonts w:hint="eastAsia" w:ascii="仿宋" w:hAnsi="仿宋" w:eastAsia="仿宋" w:cs="仿宋"/>
          <w:color w:val="auto"/>
          <w:sz w:val="28"/>
          <w:szCs w:val="28"/>
          <w:highlight w:val="none"/>
          <w:lang w:val="en-US" w:eastAsia="zh-CN"/>
        </w:rPr>
        <w:t>安装</w:t>
      </w:r>
      <w:r>
        <w:rPr>
          <w:rFonts w:hint="eastAsia" w:ascii="仿宋" w:hAnsi="仿宋" w:eastAsia="仿宋" w:cs="仿宋"/>
          <w:color w:val="auto"/>
          <w:sz w:val="28"/>
          <w:szCs w:val="28"/>
          <w:highlight w:val="none"/>
        </w:rPr>
        <w:t>施工、试验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验收</w:t>
      </w:r>
      <w:r>
        <w:rPr>
          <w:rFonts w:hint="eastAsia" w:ascii="仿宋" w:hAnsi="仿宋" w:eastAsia="仿宋" w:cs="仿宋"/>
          <w:color w:val="auto"/>
          <w:sz w:val="28"/>
          <w:szCs w:val="28"/>
          <w:highlight w:val="none"/>
        </w:rPr>
        <w:t>等方面的技术要求。</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1.2本协议提出的是最低限度的技术要求，并未对一切技术细节做出规定，也未充分引述有关标准和规范条文，</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应保证提供符合本技术协议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最</w:t>
      </w:r>
      <w:r>
        <w:rPr>
          <w:rFonts w:hint="eastAsia" w:ascii="仿宋" w:hAnsi="仿宋" w:eastAsia="仿宋" w:cs="仿宋"/>
          <w:color w:val="auto"/>
          <w:sz w:val="28"/>
          <w:szCs w:val="28"/>
          <w:highlight w:val="none"/>
        </w:rPr>
        <w:t>新的、先进的、高效可靠最新工业标准产品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满足国家有关安全、环保等强制性法规、规程、规范及有关执行标准的要求。</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1.3本技术</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所使用的标准，如遇到与</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所执行的标准不一致时，按较高的标准执行，但不</w:t>
      </w:r>
      <w:r>
        <w:rPr>
          <w:rFonts w:hint="eastAsia" w:ascii="仿宋" w:hAnsi="仿宋" w:eastAsia="仿宋" w:cs="仿宋"/>
          <w:color w:val="auto"/>
          <w:sz w:val="28"/>
          <w:szCs w:val="28"/>
          <w:highlight w:val="none"/>
          <w:lang w:val="en-US" w:eastAsia="zh-CN"/>
        </w:rPr>
        <w:t>得</w:t>
      </w:r>
      <w:r>
        <w:rPr>
          <w:rFonts w:hint="eastAsia" w:ascii="仿宋" w:hAnsi="仿宋" w:eastAsia="仿宋" w:cs="仿宋"/>
          <w:color w:val="auto"/>
          <w:sz w:val="28"/>
          <w:szCs w:val="28"/>
          <w:highlight w:val="none"/>
        </w:rPr>
        <w:t>低于最新国家标准。如果技术</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与现行使用的有关</w:t>
      </w:r>
      <w:r>
        <w:rPr>
          <w:rFonts w:hint="eastAsia" w:ascii="仿宋" w:hAnsi="仿宋" w:eastAsia="仿宋" w:cs="仿宋"/>
          <w:color w:val="auto"/>
          <w:sz w:val="28"/>
          <w:szCs w:val="28"/>
          <w:highlight w:val="none"/>
          <w:lang w:val="en-US" w:eastAsia="zh-CN"/>
        </w:rPr>
        <w:t>国家</w:t>
      </w:r>
      <w:r>
        <w:rPr>
          <w:rFonts w:hint="eastAsia" w:ascii="仿宋" w:hAnsi="仿宋" w:eastAsia="仿宋" w:cs="仿宋"/>
          <w:color w:val="auto"/>
          <w:sz w:val="28"/>
          <w:szCs w:val="28"/>
          <w:highlight w:val="none"/>
        </w:rPr>
        <w:t>标准以及</w:t>
      </w:r>
      <w:r>
        <w:rPr>
          <w:rFonts w:hint="eastAsia" w:ascii="仿宋" w:hAnsi="仿宋" w:eastAsia="仿宋" w:cs="仿宋"/>
          <w:color w:val="auto"/>
          <w:sz w:val="28"/>
          <w:szCs w:val="28"/>
          <w:highlight w:val="none"/>
          <w:lang w:val="en-US" w:eastAsia="zh-CN"/>
        </w:rPr>
        <w:t>行业</w:t>
      </w:r>
      <w:r>
        <w:rPr>
          <w:rFonts w:hint="eastAsia" w:ascii="仿宋" w:hAnsi="仿宋" w:eastAsia="仿宋" w:cs="仿宋"/>
          <w:color w:val="auto"/>
          <w:sz w:val="28"/>
          <w:szCs w:val="28"/>
          <w:highlight w:val="none"/>
        </w:rPr>
        <w:t>标准有明显抵触条文的，</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应及时书面通知</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进行解决。</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1.4合同签订后，</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的时间、内容要求提供其所需的设计资料。</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在签订合同后，甲方保留对本技术协议提出补充要求和修改的权利，乙方应予以配合。</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2、改造要求</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（1）本项目改造范围：荒煤气上升管点火设备、电仪、控制系统等所有专业设计，专用设备制造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材料采购供货、工程施工、系统开车调试、性能考核、竣工验收、培训与服务等全过程的交钥匙总承包工程。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（2）项目系统范围内的所有设备</w:t>
      </w:r>
      <w:r>
        <w:rPr>
          <w:rFonts w:hint="eastAsia" w:ascii="仿宋" w:hAnsi="仿宋" w:eastAsia="仿宋" w:cs="仿宋"/>
          <w:color w:val="auto"/>
          <w:sz w:val="28"/>
          <w:szCs w:val="28"/>
          <w:highlight w:val="none"/>
          <w:lang w:eastAsia="zh-CN"/>
        </w:rPr>
        <w:t>（明确甲供</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材料</w:t>
      </w:r>
      <w:r>
        <w:rPr>
          <w:rFonts w:hint="eastAsia" w:ascii="仿宋" w:hAnsi="仿宋" w:eastAsia="仿宋" w:cs="仿宋"/>
          <w:color w:val="auto"/>
          <w:sz w:val="28"/>
          <w:szCs w:val="28"/>
          <w:highlight w:val="none"/>
          <w:lang w:val="en-US" w:eastAsia="zh-CN"/>
        </w:rPr>
        <w:t>除外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及辅材（含甲供材料的辅材）</w:t>
      </w:r>
      <w:r>
        <w:rPr>
          <w:rFonts w:hint="eastAsia" w:ascii="仿宋" w:hAnsi="仿宋" w:eastAsia="仿宋" w:cs="仿宋"/>
          <w:color w:val="auto"/>
          <w:sz w:val="28"/>
          <w:szCs w:val="28"/>
          <w:highlight w:val="none"/>
        </w:rPr>
        <w:t>均由</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提供，改造后实现荒煤气上升管自动点火、</w:t>
      </w:r>
      <w:r>
        <w:rPr>
          <w:rFonts w:hint="eastAsia" w:ascii="仿宋" w:hAnsi="仿宋" w:eastAsia="仿宋" w:cs="仿宋"/>
          <w:color w:val="auto"/>
          <w:sz w:val="28"/>
          <w:szCs w:val="28"/>
          <w:highlight w:val="none"/>
          <w:lang w:val="en-US" w:eastAsia="zh-CN"/>
        </w:rPr>
        <w:t>残余煤气</w:t>
      </w:r>
      <w:r>
        <w:rPr>
          <w:rFonts w:hint="eastAsia" w:ascii="仿宋" w:hAnsi="仿宋" w:eastAsia="仿宋" w:cs="仿宋"/>
          <w:color w:val="auto"/>
          <w:sz w:val="28"/>
          <w:szCs w:val="28"/>
          <w:highlight w:val="none"/>
        </w:rPr>
        <w:t>充分燃烧的目标。</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（3）改造涉及</w:t>
      </w:r>
      <w:r>
        <w:rPr>
          <w:rFonts w:hint="eastAsia" w:ascii="仿宋" w:hAnsi="仿宋" w:eastAsia="仿宋" w:cs="仿宋"/>
          <w:color w:val="auto"/>
          <w:sz w:val="28"/>
          <w:szCs w:val="28"/>
          <w:highlight w:val="none"/>
          <w:lang w:val="en-US" w:eastAsia="zh-CN"/>
        </w:rPr>
        <w:t>甲方已有部分的</w:t>
      </w:r>
      <w:r>
        <w:rPr>
          <w:rFonts w:hint="eastAsia" w:ascii="仿宋" w:hAnsi="仿宋" w:eastAsia="仿宋" w:cs="仿宋"/>
          <w:color w:val="auto"/>
          <w:sz w:val="28"/>
          <w:szCs w:val="28"/>
          <w:highlight w:val="none"/>
        </w:rPr>
        <w:t>电气自动化的设计、施工。</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免费提供</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在施工过程中涉及的水电风汽等能源介质。</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提供项目所需总电源开关接口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电源取自4#配电室380V部分</w:t>
      </w:r>
      <w:r>
        <w:rPr>
          <w:rFonts w:hint="eastAsia" w:ascii="仿宋" w:hAnsi="仿宋" w:eastAsia="仿宋" w:cs="仿宋"/>
          <w:color w:val="auto"/>
          <w:sz w:val="28"/>
          <w:szCs w:val="28"/>
          <w:highlight w:val="none"/>
        </w:rPr>
        <w:t>。</w:t>
      </w:r>
    </w:p>
    <w:p>
      <w:pPr>
        <w:rPr>
          <w:highlight w:val="none"/>
        </w:rPr>
      </w:pPr>
      <w:r>
        <w:rPr>
          <w:rFonts w:hint="eastAsia" w:ascii="仿宋" w:hAnsi="仿宋" w:eastAsia="仿宋" w:cs="仿宋"/>
          <w:color w:val="auto"/>
          <w:sz w:val="28"/>
          <w:szCs w:val="28"/>
          <w:highlight w:val="none"/>
          <w:lang w:val="en-US" w:eastAsia="zh-CN"/>
        </w:rPr>
        <w:t>（6）乙方应对现场实际情况充分了解，并保证</w:t>
      </w:r>
      <w:r>
        <w:rPr>
          <w:rFonts w:hint="eastAsia" w:ascii="仿宋" w:hAnsi="仿宋" w:eastAsia="仿宋" w:cs="仿宋"/>
          <w:color w:val="auto"/>
          <w:sz w:val="28"/>
          <w:szCs w:val="28"/>
          <w:highlight w:val="none"/>
        </w:rPr>
        <w:t>焦炉上升管荒煤气自动点火</w:t>
      </w:r>
      <w:r>
        <w:rPr>
          <w:rFonts w:hint="eastAsia" w:ascii="仿宋" w:hAnsi="仿宋" w:eastAsia="仿宋" w:cs="仿宋"/>
          <w:color w:val="auto"/>
          <w:sz w:val="28"/>
          <w:szCs w:val="28"/>
          <w:highlight w:val="none"/>
          <w:lang w:val="en-US" w:eastAsia="zh-CN"/>
        </w:rPr>
        <w:t>项目产品的完整性，不得以任何借口作为项目达不到协议要求的理由。</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3、技术要求</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3.1工艺要求</w:t>
      </w:r>
    </w:p>
    <w:p>
      <w:pPr>
        <w:ind w:firstLine="560" w:firstLineChars="200"/>
        <w:rPr>
          <w:rFonts w:hint="default" w:ascii="仿宋" w:hAnsi="仿宋" w:eastAsia="仿宋" w:cs="仿宋"/>
          <w:color w:val="FF0000"/>
          <w:sz w:val="28"/>
          <w:szCs w:val="28"/>
          <w:highlight w:val="none"/>
          <w:lang w:val="en-US" w:eastAsia="zh-CN"/>
        </w:rPr>
      </w:pPr>
      <w:r>
        <w:rPr>
          <w:rFonts w:hint="eastAsia" w:ascii="仿宋" w:hAnsi="仿宋" w:eastAsia="仿宋" w:cs="仿宋"/>
          <w:color w:val="auto"/>
          <w:sz w:val="28"/>
          <w:szCs w:val="28"/>
          <w:highlight w:val="none"/>
        </w:rPr>
        <w:t>为降低员工劳动强度，工艺采用</w:t>
      </w:r>
      <w:r>
        <w:rPr>
          <w:rFonts w:hint="eastAsia" w:ascii="仿宋" w:hAnsi="仿宋" w:eastAsia="仿宋" w:cs="仿宋"/>
          <w:strike w:val="0"/>
          <w:dstrike w:val="0"/>
          <w:color w:val="auto"/>
          <w:sz w:val="28"/>
          <w:szCs w:val="28"/>
          <w:highlight w:val="none"/>
          <w:lang w:val="en-US" w:eastAsia="zh-CN"/>
        </w:rPr>
        <w:t>自动</w:t>
      </w:r>
      <w:r>
        <w:rPr>
          <w:rFonts w:hint="eastAsia" w:ascii="仿宋" w:hAnsi="仿宋" w:eastAsia="仿宋" w:cs="仿宋"/>
          <w:color w:val="auto"/>
          <w:sz w:val="28"/>
          <w:szCs w:val="28"/>
          <w:highlight w:val="none"/>
        </w:rPr>
        <w:t>控制，联锁自动点火方式，整个过程中不需要人工操作。即系统自动捕捉需要点火的信号，</w:t>
      </w:r>
      <w:r>
        <w:rPr>
          <w:rFonts w:hint="eastAsia" w:ascii="仿宋" w:hAnsi="仿宋" w:eastAsia="仿宋" w:cs="仿宋"/>
          <w:strike w:val="0"/>
          <w:dstrike w:val="0"/>
          <w:color w:val="auto"/>
          <w:sz w:val="28"/>
          <w:szCs w:val="28"/>
          <w:highlight w:val="none"/>
          <w:lang w:val="en-US" w:eastAsia="zh-CN"/>
        </w:rPr>
        <w:t>自动</w:t>
      </w:r>
      <w:r>
        <w:rPr>
          <w:rFonts w:hint="eastAsia" w:ascii="仿宋" w:hAnsi="仿宋" w:eastAsia="仿宋" w:cs="仿宋"/>
          <w:color w:val="auto"/>
          <w:sz w:val="28"/>
          <w:szCs w:val="28"/>
          <w:highlight w:val="none"/>
        </w:rPr>
        <w:t>控制，</w:t>
      </w:r>
      <w:r>
        <w:rPr>
          <w:rFonts w:hint="eastAsia" w:ascii="仿宋" w:hAnsi="仿宋" w:eastAsia="仿宋" w:cs="仿宋"/>
          <w:color w:val="auto"/>
          <w:sz w:val="28"/>
          <w:szCs w:val="28"/>
          <w:highlight w:val="none"/>
          <w:lang w:val="en-US" w:eastAsia="zh-CN"/>
        </w:rPr>
        <w:t>开盖前</w:t>
      </w:r>
      <w:r>
        <w:rPr>
          <w:rFonts w:hint="eastAsia" w:ascii="仿宋" w:hAnsi="仿宋" w:eastAsia="仿宋" w:cs="仿宋"/>
          <w:color w:val="auto"/>
          <w:sz w:val="28"/>
          <w:szCs w:val="28"/>
          <w:highlight w:val="none"/>
        </w:rPr>
        <w:t>点火器开始工作，点火的成功率</w:t>
      </w: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乙方可采用脉冲触发高频放电点火或安全电压陶瓷高温点火方式中任一种点火方</w:t>
      </w:r>
      <w:r>
        <w:rPr>
          <w:rFonts w:hint="eastAsia" w:ascii="仿宋" w:hAnsi="仿宋" w:eastAsia="仿宋" w:cs="仿宋"/>
          <w:color w:val="FF0000"/>
          <w:sz w:val="28"/>
          <w:szCs w:val="28"/>
          <w:highlight w:val="none"/>
          <w:lang w:val="en-US" w:eastAsia="zh-CN"/>
        </w:rPr>
        <w:t>式。</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3.1.1脉冲触发高频放电点火方式不需要故障检测功能。</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3.1.2安全电压陶瓷高温点火系统需要具有点火头故障自动检测的功能。</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3.1.3需在1#、2#自动放散小屋取集气管压力信号。在集气管压力超过甲方设定值时自动切断自动点火电源，防止非出炉异常情况下误点火的发生。</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3.1.4自动点火必须在桥管翻板关闭后执行，无桥管翻板关闭信号不得点火。脉冲触发高频放电点火方式增加上升管盖信号，在桥管翻板信号关闭后，上升管盖无关闭信号或者上升管盖开指令输出时开始高频放电点火。</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3.1.5自动点火时间从翻板信号触发到点火成功间隔时间3-15秒可调，点火持续时长可调。</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3.2设备要求</w:t>
      </w:r>
      <w:r>
        <w:rPr>
          <w:rFonts w:hint="eastAsia" w:ascii="仿宋" w:hAnsi="仿宋" w:eastAsia="仿宋" w:cs="仿宋"/>
          <w:color w:val="auto"/>
          <w:sz w:val="28"/>
          <w:szCs w:val="28"/>
          <w:highlight w:val="none"/>
          <w:lang w:val="en-US" w:eastAsia="zh-CN"/>
        </w:rPr>
        <w:t xml:space="preserve">  </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（1）上升管点火</w:t>
      </w:r>
      <w:r>
        <w:rPr>
          <w:rFonts w:hint="eastAsia" w:ascii="仿宋" w:hAnsi="仿宋" w:eastAsia="仿宋" w:cs="仿宋"/>
          <w:color w:val="auto"/>
          <w:sz w:val="28"/>
          <w:szCs w:val="28"/>
          <w:highlight w:val="none"/>
          <w:lang w:val="en-US" w:eastAsia="zh-CN"/>
        </w:rPr>
        <w:t>组件</w:t>
      </w:r>
    </w:p>
    <w:p>
      <w:pP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组件</w:t>
      </w:r>
      <w:r>
        <w:rPr>
          <w:rFonts w:hint="eastAsia" w:ascii="仿宋" w:hAnsi="仿宋" w:eastAsia="仿宋" w:cs="仿宋"/>
          <w:color w:val="auto"/>
          <w:sz w:val="28"/>
          <w:szCs w:val="28"/>
          <w:highlight w:val="none"/>
        </w:rPr>
        <w:t>布置在上升管水封盖底座外沿，</w:t>
      </w:r>
      <w:r>
        <w:rPr>
          <w:rFonts w:hint="eastAsia" w:ascii="仿宋" w:hAnsi="仿宋" w:eastAsia="仿宋" w:cs="仿宋"/>
          <w:color w:val="auto"/>
          <w:sz w:val="28"/>
          <w:szCs w:val="28"/>
          <w:highlight w:val="none"/>
          <w:lang w:val="en-US" w:eastAsia="zh-CN"/>
        </w:rPr>
        <w:t>不得影响水封盖正常开关。</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2）点火头方式</w:t>
      </w:r>
      <w:r>
        <w:rPr>
          <w:rFonts w:hint="eastAsia" w:ascii="仿宋" w:hAnsi="仿宋" w:eastAsia="仿宋" w:cs="仿宋"/>
          <w:color w:val="auto"/>
          <w:sz w:val="28"/>
          <w:szCs w:val="28"/>
          <w:highlight w:val="none"/>
          <w:lang w:val="en-US" w:eastAsia="zh-CN"/>
        </w:rPr>
        <w:t>需先进，保证防水防风，点火率要求100%。</w:t>
      </w:r>
    </w:p>
    <w:p>
      <w:pP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）荒煤气中含</w:t>
      </w:r>
      <w:r>
        <w:rPr>
          <w:rFonts w:hint="eastAsia" w:ascii="仿宋" w:hAnsi="仿宋" w:eastAsia="仿宋" w:cs="仿宋"/>
          <w:color w:val="auto"/>
          <w:sz w:val="28"/>
          <w:szCs w:val="28"/>
          <w:highlight w:val="none"/>
          <w:lang w:val="en-US" w:eastAsia="zh-CN"/>
        </w:rPr>
        <w:t>有</w:t>
      </w:r>
      <w:r>
        <w:rPr>
          <w:rFonts w:hint="eastAsia" w:ascii="仿宋" w:hAnsi="仿宋" w:eastAsia="仿宋" w:cs="仿宋"/>
          <w:color w:val="auto"/>
          <w:sz w:val="28"/>
          <w:szCs w:val="28"/>
          <w:highlight w:val="none"/>
        </w:rPr>
        <w:t>微量焦油、粉尘等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为保证点火效果，点火装置需具备</w:t>
      </w:r>
      <w:r>
        <w:rPr>
          <w:rFonts w:hint="eastAsia" w:ascii="仿宋" w:hAnsi="仿宋" w:eastAsia="仿宋" w:cs="仿宋"/>
          <w:color w:val="auto"/>
          <w:sz w:val="28"/>
          <w:szCs w:val="28"/>
          <w:highlight w:val="none"/>
          <w:lang w:val="en-US" w:eastAsia="zh-CN"/>
        </w:rPr>
        <w:t>脉冲火花或</w:t>
      </w:r>
      <w:r>
        <w:rPr>
          <w:rFonts w:hint="eastAsia" w:ascii="仿宋" w:hAnsi="仿宋" w:eastAsia="仿宋" w:cs="仿宋"/>
          <w:color w:val="auto"/>
          <w:sz w:val="28"/>
          <w:szCs w:val="28"/>
          <w:highlight w:val="none"/>
        </w:rPr>
        <w:t>高温自洁功能，能自动将点火头上附着的焦油、焦粉等污物氧化清除。</w:t>
      </w:r>
    </w:p>
    <w:p>
      <w:pPr>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4）点火头工作环境恶劣，需要有一定的防护措施，为保持美观大方，防护装置需采用不锈钢</w:t>
      </w:r>
      <w:r>
        <w:rPr>
          <w:rFonts w:hint="eastAsia" w:ascii="仿宋" w:hAnsi="仿宋" w:eastAsia="仿宋" w:cs="仿宋"/>
          <w:color w:val="auto"/>
          <w:sz w:val="28"/>
          <w:szCs w:val="28"/>
          <w:highlight w:val="none"/>
          <w:lang w:val="en-US" w:eastAsia="zh-CN"/>
        </w:rPr>
        <w:t>304</w:t>
      </w:r>
      <w:r>
        <w:rPr>
          <w:rFonts w:hint="eastAsia" w:ascii="仿宋" w:hAnsi="仿宋" w:eastAsia="仿宋" w:cs="仿宋"/>
          <w:color w:val="auto"/>
          <w:sz w:val="28"/>
          <w:szCs w:val="28"/>
          <w:highlight w:val="none"/>
        </w:rPr>
        <w:t>材质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厚度≥2mm。</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5）上升管为高温设备，且煤气成分复杂多变，点火头需要耐温1500℃以上。</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6）脉冲触发高频放电点火方式每孔（套）1个点火枪，安全电压陶瓷高温点火方式每孔（套）3个点火头。</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（2）点火控制器</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点火控制器采用12V、24V安全电压或DC2500V高频放电方式点火，点火控制器布置在上升管现场控制箱内，挂式或导轨式安装，并考虑更换维护的方便。</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（3）安全电压陶瓷高温点火系统点火装置需提供点火头断线、短路、老化等故障预警，以便及时处理保证点火成功率。</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（4）控制信号</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为今后检修维护方便，控制器需保证一定的通用性，控制器能够兼容多种指令信号输入，包括耐高温限位开关，人工按钮触发点火方式等。</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3.3其他要求</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（1）焦炉顶部高温，炉区管线采用防火套管防护。</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（2）炉顶区域各线缆铺设需架设穿线管，材质要求不锈钢304。</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（3）对现场专业技术人员及施工人员进行培训。施工过程涉及到的特种作业人员必须持有有效证件，包括：电工证、登高证、煤气作业证、电焊证、起重指挥证等。</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（4）施工期间厂内用运输和吊装车辆由乙方提供，乙方负责吊车指挥。。</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（5）施工前，乙方应拟定详细的施工安装方案，交甲方审定后方可施工。</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（6）所有管线需采用高温防火套管防护。</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（7）为保障设备生产及工艺安全，乙方需保障本项目的独立性，不与甲方原有上升管盖和桥管翻板自动开闭系统点位互取。</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（8）施工需保持保证现场清洁，地面铁锈等垃圾清理干净。</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（9）乙方必须遵守甲方安全、生产等制度规范要求。</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（10）乙方提供5套点火头（枪），做为系统备件。</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（11）进入炉区所有线缆使用不锈钢穿线管，穿线管使用防火管。煤塔部位使用桥架，可利旧。</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（12）现场安装配电箱需双层门，等级≥IP54，有防雨措施。</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（13）涉及软件部分需采用开源控制，正版软件，不得设置密码。</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4、主要设备材料表：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4.1投标前乙方应对甲方现场和需求充分了解。</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4.2本设备材料表只是提供了工程基本材料，不代表全部用料。</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4.3乙方应保证提供设备材料的完整性，合同签订后，不足部分乙方应无偿补充。乙方不得以材料表中内容或数量缺失为借口使工程功能未实现或未达标。</w:t>
      </w:r>
    </w:p>
    <w:tbl>
      <w:tblPr>
        <w:tblStyle w:val="5"/>
        <w:tblW w:w="9192"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142"/>
        <w:gridCol w:w="1573"/>
        <w:gridCol w:w="735"/>
        <w:gridCol w:w="750"/>
        <w:gridCol w:w="1515"/>
        <w:gridCol w:w="825"/>
        <w:gridCol w:w="808"/>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bookmarkStart w:id="0" w:name="_Hlt3967255"/>
            <w:bookmarkEnd w:id="0"/>
            <w:bookmarkStart w:id="1" w:name="_Toc395200454"/>
            <w:bookmarkStart w:id="2" w:name="_Toc81567702"/>
            <w:bookmarkStart w:id="3" w:name="_Toc500453876"/>
            <w:r>
              <w:rPr>
                <w:rFonts w:hint="eastAsia" w:ascii="仿宋" w:hAnsi="仿宋" w:eastAsia="仿宋" w:cs="仿宋"/>
                <w:b/>
                <w:bCs/>
                <w:i w:val="0"/>
                <w:iCs w:val="0"/>
                <w:color w:val="000000"/>
                <w:kern w:val="0"/>
                <w:sz w:val="22"/>
                <w:szCs w:val="22"/>
                <w:highlight w:val="none"/>
                <w:u w:val="none"/>
                <w:lang w:val="en-US" w:eastAsia="zh-CN" w:bidi="ar"/>
              </w:rPr>
              <w:t>序号</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名称</w:t>
            </w:r>
          </w:p>
        </w:tc>
        <w:tc>
          <w:tcPr>
            <w:tcW w:w="3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安全电压陶瓷高温点火方式</w:t>
            </w: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脉冲触发高频放电点火方式</w:t>
            </w:r>
          </w:p>
        </w:tc>
        <w:tc>
          <w:tcPr>
            <w:tcW w:w="11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113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上升管点火组件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IP67,12V/24V,30耐温1500℃，304不锈钢外壳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高能点火枪、挡风板、支架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自动点火控制器</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ARM高速处理器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高能点火器AC220V/DC2500V</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电源电缆</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耐火限位用电缆</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点火线专用线</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highlight w:val="none"/>
                <w:u w:val="none"/>
              </w:rPr>
            </w:pPr>
            <w:r>
              <w:rPr>
                <w:rFonts w:hint="default" w:ascii="Arial" w:hAnsi="Arial" w:eastAsia="宋体" w:cs="Arial"/>
                <w:i w:val="0"/>
                <w:iCs w:val="0"/>
                <w:color w:val="000000"/>
                <w:kern w:val="0"/>
                <w:sz w:val="22"/>
                <w:szCs w:val="22"/>
                <w:highlight w:val="none"/>
                <w:u w:val="none"/>
                <w:lang w:val="en-US" w:eastAsia="zh-CN" w:bidi="ar"/>
              </w:rPr>
              <w:t xml:space="preserve"> </w:t>
            </w:r>
            <w:r>
              <w:rPr>
                <w:rStyle w:val="9"/>
                <w:highlight w:val="none"/>
                <w:lang w:val="en-US" w:eastAsia="zh-CN" w:bidi="ar"/>
              </w:rPr>
              <w:t>≥NHB耐火等级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highlight w:val="none"/>
                <w:u w:val="none"/>
              </w:rPr>
            </w:pPr>
            <w:r>
              <w:rPr>
                <w:rFonts w:hint="default" w:ascii="Arial" w:hAnsi="Arial" w:eastAsia="宋体" w:cs="Arial"/>
                <w:i w:val="0"/>
                <w:iCs w:val="0"/>
                <w:color w:val="000000"/>
                <w:kern w:val="0"/>
                <w:sz w:val="22"/>
                <w:szCs w:val="22"/>
                <w:highlight w:val="none"/>
                <w:u w:val="none"/>
                <w:lang w:val="en-US" w:eastAsia="zh-CN" w:bidi="ar"/>
              </w:rPr>
              <w:t xml:space="preserve"> </w:t>
            </w:r>
            <w:r>
              <w:rPr>
                <w:rStyle w:val="9"/>
                <w:highlight w:val="none"/>
                <w:lang w:val="en-US" w:eastAsia="zh-CN" w:bidi="ar"/>
              </w:rPr>
              <w:t>≥NHB耐火等级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配电柜至点火枪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防火套管</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内径32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耐高温限位开关</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KJT-XWKB(-40-350)℃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KJT-XWKB(-40-350)℃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穿线管</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上升管点火头（枪）备件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IP67,12V/24V,30耐温1500℃，304不锈钢外壳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高能点火枪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电源备件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12V/24V</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高能点火器AC220V/DC2500V</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耐高温限位开关备件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KJT-XWKB(-40-350)℃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KJT-XWKB(-40-350)℃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自动点火控制器备件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ARM高速处理器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控制箱（含点火器）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信号隔离器</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一进二出（4-20）mA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一进二出（4-20）mA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控制柜、点火柜</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其他</w:t>
            </w:r>
          </w:p>
        </w:tc>
        <w:tc>
          <w:tcPr>
            <w:tcW w:w="5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防雨配电箱、中间接线盒、防护箱、跨接线、接丝及支架、槽钢等辅材</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5、验收及竣工资料</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5.1验收标准：</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（1）改造后功能正常，</w:t>
      </w:r>
      <w:r>
        <w:rPr>
          <w:rFonts w:hint="eastAsia" w:ascii="仿宋" w:hAnsi="仿宋" w:eastAsia="仿宋" w:cs="仿宋"/>
          <w:color w:val="auto"/>
          <w:sz w:val="28"/>
          <w:szCs w:val="28"/>
          <w:highlight w:val="none"/>
          <w:lang w:val="en-US" w:eastAsia="zh-CN"/>
        </w:rPr>
        <w:t>设备防护完整，</w:t>
      </w:r>
      <w:r>
        <w:rPr>
          <w:rFonts w:hint="eastAsia" w:ascii="仿宋" w:hAnsi="仿宋" w:eastAsia="仿宋" w:cs="仿宋"/>
          <w:color w:val="auto"/>
          <w:sz w:val="28"/>
          <w:szCs w:val="28"/>
          <w:highlight w:val="none"/>
        </w:rPr>
        <w:t>运行可靠</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 xml:space="preserve">完成设备调试、相关工艺控制器程序的调试，设备投运连续正常运行 </w:t>
      </w: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 xml:space="preserve"> 小时。</w:t>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翻板关闭信号检测信号接通3s内实现上升管开盖即时点火。</w:t>
      </w:r>
    </w:p>
    <w:p>
      <w:pPr>
        <w:rPr>
          <w:rFonts w:hint="default" w:eastAsia="仿宋"/>
          <w:color w:val="auto"/>
          <w:highlight w:val="none"/>
          <w:lang w:val="en-US" w:eastAsia="zh-CN"/>
        </w:rPr>
      </w:pPr>
      <w:r>
        <w:rPr>
          <w:rFonts w:hint="eastAsia" w:ascii="仿宋" w:hAnsi="仿宋" w:eastAsia="仿宋" w:cs="仿宋"/>
          <w:color w:val="auto"/>
          <w:sz w:val="28"/>
          <w:szCs w:val="28"/>
          <w:highlight w:val="none"/>
          <w:lang w:val="en-US" w:eastAsia="zh-CN"/>
        </w:rPr>
        <w:t>（4）上升管开盖点火</w:t>
      </w:r>
      <w:r>
        <w:rPr>
          <w:rFonts w:hint="eastAsia" w:ascii="仿宋" w:hAnsi="仿宋" w:eastAsia="仿宋" w:cs="仿宋"/>
          <w:color w:val="auto"/>
          <w:sz w:val="28"/>
          <w:szCs w:val="28"/>
          <w:highlight w:val="none"/>
        </w:rPr>
        <w:t xml:space="preserve">连续 </w:t>
      </w: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 xml:space="preserve"> 小时</w:t>
      </w:r>
      <w:r>
        <w:rPr>
          <w:rFonts w:hint="eastAsia" w:ascii="仿宋" w:hAnsi="仿宋" w:eastAsia="仿宋" w:cs="仿宋"/>
          <w:color w:val="auto"/>
          <w:sz w:val="28"/>
          <w:szCs w:val="28"/>
          <w:highlight w:val="none"/>
          <w:lang w:val="en-US" w:eastAsia="zh-CN"/>
        </w:rPr>
        <w:t>成功率100%。</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5.2材料清单：</w:t>
      </w:r>
    </w:p>
    <w:tbl>
      <w:tblPr>
        <w:tblStyle w:val="5"/>
        <w:tblW w:w="9013"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710"/>
        <w:gridCol w:w="1523"/>
        <w:gridCol w:w="139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编号</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电器接线图</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份</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电子版、</w:t>
            </w:r>
            <w:r>
              <w:rPr>
                <w:rFonts w:hint="eastAsia" w:ascii="仿宋" w:hAnsi="仿宋" w:eastAsia="仿宋" w:cs="仿宋"/>
                <w:color w:val="auto"/>
                <w:sz w:val="24"/>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产品合格证</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检验验收报告</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份</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设备清单</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份</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电子版、</w:t>
            </w:r>
            <w:r>
              <w:rPr>
                <w:rFonts w:hint="eastAsia" w:ascii="仿宋" w:hAnsi="仿宋" w:eastAsia="仿宋" w:cs="仿宋"/>
                <w:color w:val="auto"/>
                <w:sz w:val="24"/>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备品备件清单</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份</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电子版、</w:t>
            </w:r>
            <w:r>
              <w:rPr>
                <w:rFonts w:hint="eastAsia" w:ascii="仿宋" w:hAnsi="仿宋" w:eastAsia="仿宋" w:cs="仿宋"/>
                <w:color w:val="auto"/>
                <w:sz w:val="24"/>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710"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设备说明书</w:t>
            </w:r>
          </w:p>
        </w:tc>
        <w:tc>
          <w:tcPr>
            <w:tcW w:w="1523"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395"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份</w:t>
            </w:r>
          </w:p>
        </w:tc>
        <w:tc>
          <w:tcPr>
            <w:tcW w:w="2516" w:type="dxa"/>
            <w:vAlign w:val="center"/>
          </w:tcPr>
          <w:p>
            <w:pPr>
              <w:widowControl/>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电子版、</w:t>
            </w:r>
            <w:r>
              <w:rPr>
                <w:rFonts w:hint="eastAsia" w:ascii="仿宋" w:hAnsi="仿宋" w:eastAsia="仿宋" w:cs="仿宋"/>
                <w:color w:val="auto"/>
                <w:sz w:val="24"/>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center"/>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2710" w:type="dxa"/>
            <w:vAlign w:val="center"/>
          </w:tcPr>
          <w:p>
            <w:pPr>
              <w:widowControl/>
              <w:jc w:val="both"/>
              <w:textAlignment w:val="bottom"/>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调试方案</w:t>
            </w:r>
          </w:p>
        </w:tc>
        <w:tc>
          <w:tcPr>
            <w:tcW w:w="1523" w:type="dxa"/>
            <w:vAlign w:val="center"/>
          </w:tcPr>
          <w:p>
            <w:pPr>
              <w:widowControl/>
              <w:jc w:val="center"/>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395" w:type="dxa"/>
            <w:vAlign w:val="center"/>
          </w:tcPr>
          <w:p>
            <w:pPr>
              <w:widowControl/>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份</w:t>
            </w:r>
          </w:p>
        </w:tc>
        <w:tc>
          <w:tcPr>
            <w:tcW w:w="2516" w:type="dxa"/>
            <w:vAlign w:val="center"/>
          </w:tcPr>
          <w:p>
            <w:pPr>
              <w:widowControl/>
              <w:jc w:val="center"/>
              <w:textAlignment w:val="bottom"/>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电子版、纸质各2份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3" w:type="dxa"/>
            <w:gridSpan w:val="5"/>
            <w:vAlign w:val="center"/>
          </w:tcPr>
          <w:p>
            <w:pPr>
              <w:widowControl/>
              <w:tabs>
                <w:tab w:val="left" w:pos="1055"/>
                <w:tab w:val="left" w:pos="7698"/>
              </w:tabs>
              <w:jc w:val="lef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备注：电器接线图提供电子版图纸一份。</w:t>
            </w:r>
            <w:r>
              <w:rPr>
                <w:rFonts w:hint="eastAsia" w:ascii="仿宋" w:hAnsi="仿宋" w:eastAsia="仿宋" w:cs="仿宋"/>
                <w:color w:val="auto"/>
                <w:sz w:val="24"/>
                <w:highlight w:val="none"/>
              </w:rPr>
              <w:tab/>
            </w:r>
          </w:p>
        </w:tc>
      </w:tr>
    </w:tbl>
    <w:p>
      <w:pP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6、</w:t>
      </w:r>
      <w:r>
        <w:rPr>
          <w:rFonts w:hint="eastAsia" w:ascii="仿宋" w:hAnsi="仿宋" w:eastAsia="仿宋" w:cs="仿宋"/>
          <w:b/>
          <w:bCs/>
          <w:color w:val="auto"/>
          <w:sz w:val="28"/>
          <w:szCs w:val="28"/>
          <w:highlight w:val="none"/>
        </w:rPr>
        <w:t>工期及质保期</w:t>
      </w:r>
      <w:bookmarkEnd w:id="1"/>
      <w:bookmarkEnd w:id="2"/>
      <w:bookmarkEnd w:id="3"/>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lang w:val="en-US" w:eastAsia="zh-CN"/>
        </w:rPr>
        <w:t>合同签订后2个月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质保期：竣工验收后1年。</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7、保证</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7.1质保期内产品出现的产品质量问题，承包方将免费负责维修、更换，确保设备的正常使用功能。</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7.2质保期内产品出现质量问题承包方接电话或传真24小时到达现场解决问题。质保期内承包方对所供货物实行三包服务。</w:t>
      </w:r>
    </w:p>
    <w:p>
      <w:r>
        <w:rPr>
          <w:rFonts w:hint="eastAsia" w:ascii="仿宋" w:hAnsi="仿宋" w:eastAsia="仿宋" w:cs="仿宋"/>
          <w:b/>
          <w:bCs/>
          <w:color w:val="auto"/>
          <w:sz w:val="28"/>
          <w:szCs w:val="28"/>
          <w:highlight w:val="none"/>
        </w:rPr>
        <w:t>以下无正文</w:t>
      </w:r>
    </w:p>
    <w:p>
      <w:pPr>
        <w:spacing w:line="320" w:lineRule="exact"/>
        <w:rPr>
          <w:rFonts w:hint="eastAsia" w:ascii="仿宋" w:hAnsi="仿宋" w:eastAsia="仿宋" w:cs="仿宋"/>
          <w:b/>
          <w:bCs/>
          <w:color w:val="auto"/>
          <w:sz w:val="28"/>
          <w:szCs w:val="28"/>
          <w:highlight w:val="none"/>
        </w:rPr>
      </w:pPr>
    </w:p>
    <w:p>
      <w:pPr>
        <w:spacing w:line="320" w:lineRule="exact"/>
        <w:rPr>
          <w:rFonts w:hint="eastAsia" w:ascii="仿宋" w:hAnsi="仿宋" w:eastAsia="仿宋" w:cs="仿宋"/>
          <w:b/>
          <w:bCs/>
          <w:color w:val="auto"/>
          <w:sz w:val="28"/>
          <w:szCs w:val="28"/>
          <w:highlight w:val="none"/>
        </w:rPr>
      </w:pPr>
    </w:p>
    <w:p>
      <w:pPr>
        <w:spacing w:line="32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甲方：青岛特殊钢铁有限公司           乙方：</w:t>
      </w:r>
    </w:p>
    <w:p>
      <w:pPr>
        <w:spacing w:line="32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pacing w:line="32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（盖章）                     （盖章）</w:t>
      </w:r>
    </w:p>
    <w:p>
      <w:pPr>
        <w:spacing w:line="320" w:lineRule="exact"/>
        <w:rPr>
          <w:rFonts w:ascii="仿宋" w:hAnsi="仿宋" w:eastAsia="仿宋" w:cs="仿宋"/>
          <w:color w:val="auto"/>
          <w:sz w:val="24"/>
          <w:highlight w:val="none"/>
        </w:rPr>
      </w:pPr>
    </w:p>
    <w:p>
      <w:pPr>
        <w:widowControl/>
        <w:snapToGrid w:val="0"/>
        <w:spacing w:line="300" w:lineRule="exact"/>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甲方代表：                           乙方代表：</w:t>
      </w:r>
    </w:p>
    <w:p>
      <w:pPr>
        <w:widowControl/>
        <w:snapToGrid w:val="0"/>
        <w:spacing w:line="300" w:lineRule="exact"/>
        <w:jc w:val="left"/>
        <w:rPr>
          <w:rFonts w:ascii="宋体" w:hAnsi="宋体" w:cs="宋体"/>
          <w:b/>
          <w:color w:val="auto"/>
          <w:kern w:val="0"/>
          <w:sz w:val="28"/>
          <w:szCs w:val="28"/>
          <w:highlight w:val="none"/>
        </w:rPr>
      </w:pPr>
    </w:p>
    <w:p>
      <w:pPr>
        <w:widowControl/>
        <w:snapToGrid w:val="0"/>
        <w:spacing w:line="300" w:lineRule="exact"/>
        <w:jc w:val="left"/>
        <w:rPr>
          <w:rFonts w:ascii="宋体" w:hAnsi="宋体" w:cs="宋体"/>
          <w:b/>
          <w:color w:val="auto"/>
          <w:kern w:val="0"/>
          <w:sz w:val="28"/>
          <w:szCs w:val="28"/>
          <w:highlight w:val="none"/>
        </w:rPr>
      </w:pPr>
    </w:p>
    <w:p>
      <w:pPr>
        <w:rPr>
          <w:color w:val="auto"/>
          <w:highlight w:val="none"/>
        </w:rPr>
      </w:pPr>
    </w:p>
    <w:p>
      <w:pPr>
        <w:rPr>
          <w:color w:val="auto"/>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drawing>
        <wp:inline distT="0" distB="0" distL="114300" distR="114300">
          <wp:extent cx="2170430" cy="349885"/>
          <wp:effectExtent l="0" t="0" r="127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170430" cy="3498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325813815160512N5"/>
    <w:docVar w:name="aztPrintName" w:val="000000ESAOAPRINT"/>
    <w:docVar w:name="aztPrintType" w:val="2"/>
    <w:docVar w:name="commondata" w:val="eyJoZGlkIjoiZDQzMDhmYjhjMjc1YzIwZmIzN2Q1NDgxYjRmY2JlMTQifQ=="/>
  </w:docVars>
  <w:rsids>
    <w:rsidRoot w:val="00000000"/>
    <w:rsid w:val="01E46AB5"/>
    <w:rsid w:val="021F7DC1"/>
    <w:rsid w:val="0310139E"/>
    <w:rsid w:val="03B10EED"/>
    <w:rsid w:val="03C12DC9"/>
    <w:rsid w:val="03C570EA"/>
    <w:rsid w:val="0472779E"/>
    <w:rsid w:val="0580326D"/>
    <w:rsid w:val="05EF3F4F"/>
    <w:rsid w:val="07524795"/>
    <w:rsid w:val="09E11203"/>
    <w:rsid w:val="0D9F7526"/>
    <w:rsid w:val="0E8D30D7"/>
    <w:rsid w:val="102962AF"/>
    <w:rsid w:val="11CB3AC2"/>
    <w:rsid w:val="13332C6F"/>
    <w:rsid w:val="14602CB4"/>
    <w:rsid w:val="154A73F4"/>
    <w:rsid w:val="15851AEC"/>
    <w:rsid w:val="16025F4F"/>
    <w:rsid w:val="16EC63D0"/>
    <w:rsid w:val="1A1B135F"/>
    <w:rsid w:val="1A3857A9"/>
    <w:rsid w:val="1C691F5E"/>
    <w:rsid w:val="1C99069C"/>
    <w:rsid w:val="1CBE10E0"/>
    <w:rsid w:val="28A5275B"/>
    <w:rsid w:val="2E2457A1"/>
    <w:rsid w:val="301673DA"/>
    <w:rsid w:val="346D124D"/>
    <w:rsid w:val="35F66AB0"/>
    <w:rsid w:val="3674665B"/>
    <w:rsid w:val="370945C1"/>
    <w:rsid w:val="37C20672"/>
    <w:rsid w:val="38241D8A"/>
    <w:rsid w:val="3A68125C"/>
    <w:rsid w:val="3C77021F"/>
    <w:rsid w:val="454D061B"/>
    <w:rsid w:val="46326F64"/>
    <w:rsid w:val="46E110B6"/>
    <w:rsid w:val="496833C9"/>
    <w:rsid w:val="4B367B5E"/>
    <w:rsid w:val="4BB52B12"/>
    <w:rsid w:val="4CB70DEF"/>
    <w:rsid w:val="50B04EE2"/>
    <w:rsid w:val="50ED5AEF"/>
    <w:rsid w:val="529603E3"/>
    <w:rsid w:val="53A616BE"/>
    <w:rsid w:val="53F36195"/>
    <w:rsid w:val="579C55B7"/>
    <w:rsid w:val="599146C1"/>
    <w:rsid w:val="5AD07440"/>
    <w:rsid w:val="5F1D47FE"/>
    <w:rsid w:val="5FDD1AFF"/>
    <w:rsid w:val="63024A04"/>
    <w:rsid w:val="640818AF"/>
    <w:rsid w:val="67A7735B"/>
    <w:rsid w:val="69076062"/>
    <w:rsid w:val="6A315D32"/>
    <w:rsid w:val="6C8E12A8"/>
    <w:rsid w:val="6E3B3D29"/>
    <w:rsid w:val="70BD7BEF"/>
    <w:rsid w:val="71D54A06"/>
    <w:rsid w:val="73456479"/>
    <w:rsid w:val="73994547"/>
    <w:rsid w:val="73A77F03"/>
    <w:rsid w:val="742835D1"/>
    <w:rsid w:val="74695BE7"/>
    <w:rsid w:val="759255FD"/>
    <w:rsid w:val="75C5557C"/>
    <w:rsid w:val="766528BB"/>
    <w:rsid w:val="79FF3026"/>
    <w:rsid w:val="7CF36E72"/>
    <w:rsid w:val="7EC90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annotation text"/>
    <w:basedOn w:val="1"/>
    <w:qFormat/>
    <w:uiPriority w:val="0"/>
    <w:pPr>
      <w:jc w:val="left"/>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basedOn w:val="1"/>
    <w:qFormat/>
    <w:uiPriority w:val="0"/>
    <w:pPr>
      <w:adjustRightInd w:val="0"/>
      <w:spacing w:line="420" w:lineRule="atLeast"/>
      <w:jc w:val="left"/>
      <w:textAlignment w:val="baseline"/>
    </w:pPr>
    <w:rPr>
      <w:kern w:val="0"/>
    </w:rPr>
  </w:style>
  <w:style w:type="character" w:customStyle="1" w:styleId="9">
    <w:name w:val="font41"/>
    <w:basedOn w:val="7"/>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3166</Words>
  <Characters>3471</Characters>
  <Lines>0</Lines>
  <Paragraphs>0</Paragraphs>
  <TotalTime>4</TotalTime>
  <ScaleCrop>false</ScaleCrop>
  <LinksUpToDate>false</LinksUpToDate>
  <CharactersWithSpaces>3565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2023-03-06T15:43:00Z</dcterms:created>
  <dc:creator>徐大正</dc:creator>
  <cp:lastModifiedBy>Administrator</cp:lastModifiedBy>
  <dcterms:modified xsi:type="dcterms:W3CDTF">2023-06-30T07:01:24Z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BE093D33112D4D6997C15101F41BB90F_13</vt:lpwstr>
  </property>
</Properties>
</file>